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</w:pPr>
      <w:r w:rsidRPr="004B32A6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 wp14:anchorId="6F97EBBF" wp14:editId="323BE93C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2A6" w:rsidRPr="004B32A6" w:rsidRDefault="004B32A6" w:rsidP="004B32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4B32A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Совет депутатов</w:t>
      </w:r>
    </w:p>
    <w:p w:rsidR="004B32A6" w:rsidRPr="004B32A6" w:rsidRDefault="004B32A6" w:rsidP="004B32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proofErr w:type="spellStart"/>
      <w:r w:rsidRPr="004B32A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муниципального округа</w:t>
      </w:r>
    </w:p>
    <w:p w:rsidR="004B32A6" w:rsidRPr="004B32A6" w:rsidRDefault="004B32A6" w:rsidP="004B32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4B32A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Нижегородской области</w:t>
      </w:r>
    </w:p>
    <w:p w:rsidR="004B32A6" w:rsidRPr="004B32A6" w:rsidRDefault="004B32A6" w:rsidP="004B32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4B32A6" w:rsidRPr="004B32A6" w:rsidRDefault="004B32A6" w:rsidP="004B32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4B32A6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Р Е Ш Е Н И Е</w:t>
      </w:r>
    </w:p>
    <w:p w:rsidR="004B32A6" w:rsidRPr="004B32A6" w:rsidRDefault="004B32A6" w:rsidP="004B32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23 декабря 2025 года</w:t>
      </w: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№ 111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бюджете муниципального округа на 2026 год и на плановый период 2027 и 2028 годов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B32A6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(в редакции решения Совета депутатов от 29 января 2026 года № 1, от 26 февраля 2026 года № 7, от 26 марта 2026 года № 16, от 28 апреля 2026 года № 25, от 28 мая 2026 года № 34, от 25 июня 2026 года № 44, от 28 июля 2026 года № 55)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 депутатов решил</w:t>
      </w:r>
      <w:r w:rsidRPr="004B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4B32A6" w:rsidRPr="004B32A6" w:rsidRDefault="004B32A6" w:rsidP="004B32A6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1. Утвердить основные характеристики бюджета муниципального округа на 2026 </w:t>
      </w:r>
      <w:proofErr w:type="gramStart"/>
      <w:r w:rsidRPr="004B32A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год:   </w:t>
      </w:r>
      <w:proofErr w:type="gramEnd"/>
      <w:r w:rsidRPr="004B32A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                          </w:t>
      </w:r>
      <w:r w:rsidRPr="004B32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28 июля 2026 года № 55)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общий объем доходов в сумме 1 369 813,1 тыс. рублей; 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общий объем расходов в сумме 1 416</w:t>
      </w:r>
      <w:r w:rsidRPr="004B32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714,8 тыс. рублей</w:t>
      </w:r>
      <w:r w:rsidRPr="004B32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; 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размер дефицита в сумме 46 901,7 тыс. рублей</w:t>
      </w:r>
      <w:r w:rsidRPr="004B32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B32A6" w:rsidRPr="004B32A6" w:rsidRDefault="004B32A6" w:rsidP="004B32A6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4B32A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Утвердить основные характеристики бюджета муниципального округа на </w:t>
      </w:r>
      <w:r w:rsidRPr="004B32A6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плановый период 2027 и 2028 годов:</w:t>
      </w:r>
    </w:p>
    <w:p w:rsidR="004B32A6" w:rsidRPr="004B32A6" w:rsidRDefault="004B32A6" w:rsidP="004B32A6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28 апреля 2026 года № 25)</w:t>
      </w:r>
    </w:p>
    <w:p w:rsidR="004B32A6" w:rsidRPr="004B32A6" w:rsidRDefault="004B32A6" w:rsidP="004B32A6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1) общий объем доходов на 2027 год в сумме 1 129 702,1 тыс. рублей, на 2028 год в сумме 1 399 853,8 тыс. рублей;</w:t>
      </w:r>
    </w:p>
    <w:p w:rsidR="004B32A6" w:rsidRPr="004B32A6" w:rsidRDefault="004B32A6" w:rsidP="004B32A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2</w:t>
      </w:r>
      <w:r w:rsidRPr="004B32A6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) общий объем расходов на 2027 год в сумме 1 129</w:t>
      </w:r>
      <w:r w:rsidRPr="004B32A6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val="en-US" w:eastAsia="ru-RU"/>
        </w:rPr>
        <w:t> </w:t>
      </w:r>
      <w:r w:rsidRPr="004B32A6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 xml:space="preserve">702,1 тыс. рублей, в том числе условно утверждаемые расходы в сумме 18 466,3 тыс. рублей; на 2028 год в сумме 1 399 853,8 тыс. рублей, в том числе условно утверждаемые расходы в сумме 39 872,6 </w:t>
      </w:r>
      <w:proofErr w:type="spellStart"/>
      <w:proofErr w:type="gramStart"/>
      <w:r w:rsidRPr="004B32A6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тыс.рублей</w:t>
      </w:r>
      <w:proofErr w:type="spellEnd"/>
      <w:proofErr w:type="gramEnd"/>
      <w:r w:rsidRPr="004B32A6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.</w:t>
      </w:r>
    </w:p>
    <w:p w:rsidR="004B32A6" w:rsidRPr="004B32A6" w:rsidRDefault="004B32A6" w:rsidP="004B32A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3) размер дефицита на 2027 год в сумме 0,0 тыс. рублей, размер дефицита на 2028 год в сумме 0,0 тыс. рублей.</w:t>
      </w:r>
    </w:p>
    <w:p w:rsidR="004B32A6" w:rsidRPr="004B32A6" w:rsidRDefault="004B32A6" w:rsidP="004B32A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Утвердить поступление доходов по группам, подгруппам и статьям бюджетной классификации в пределах общего объема доходов, утвержденного пунктами 1, 2 настоящего решения, на 2026 год и на плановый период 2027 и 2028 годов согласно приложению 1.</w:t>
      </w:r>
    </w:p>
    <w:p w:rsidR="004B32A6" w:rsidRPr="004B32A6" w:rsidRDefault="004B32A6" w:rsidP="004B32A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Утвердить общий объем налоговых и неналоговых доходов:</w:t>
      </w:r>
    </w:p>
    <w:p w:rsidR="004B32A6" w:rsidRPr="004B32A6" w:rsidRDefault="004B32A6" w:rsidP="004B32A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2026 год в сумме 521 840,6 тыс. рублей, в том числе</w:t>
      </w: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округа, в сумме 490 795,6 тыс. рублей; </w:t>
      </w:r>
    </w:p>
    <w:p w:rsidR="004B32A6" w:rsidRPr="004B32A6" w:rsidRDefault="004B32A6" w:rsidP="004B32A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28 июля 2026 года № 55)</w:t>
      </w:r>
    </w:p>
    <w:p w:rsidR="004B32A6" w:rsidRPr="004B32A6" w:rsidRDefault="004B32A6" w:rsidP="004B32A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2027 год в сумме 561 304,1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в сумме 519 857,5 тыс. рублей;</w:t>
      </w:r>
    </w:p>
    <w:p w:rsidR="004B32A6" w:rsidRPr="004B32A6" w:rsidRDefault="004B32A6" w:rsidP="004B32A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на 2028 год в сумме 600 010,0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района, в сумме 556 911,6</w:t>
      </w: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</w:t>
      </w:r>
    </w:p>
    <w:p w:rsidR="004B32A6" w:rsidRPr="004B32A6" w:rsidRDefault="004B32A6" w:rsidP="004B32A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Утвердить объем безвозмездных поступлений, получаемых из других бюджетов бюджетной системы Российской Федерации:</w:t>
      </w:r>
    </w:p>
    <w:p w:rsidR="004B32A6" w:rsidRPr="004B32A6" w:rsidRDefault="004B32A6" w:rsidP="004B32A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1) на 2026 год в сумме 853 657,1 тыс. рублей, в том</w:t>
      </w: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объем субсидий, субвенций и иных межбюджетных трансфертов, имеющих целевое назначение, в сумме 620 008,2 тыс. рублей; </w:t>
      </w:r>
    </w:p>
    <w:p w:rsidR="004B32A6" w:rsidRPr="004B32A6" w:rsidRDefault="004B32A6" w:rsidP="004B32A6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28 июля 2026 года № 55)</w:t>
      </w:r>
    </w:p>
    <w:p w:rsidR="004B32A6" w:rsidRPr="004B32A6" w:rsidRDefault="004B32A6" w:rsidP="004B32A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2) на 2027 год в сумме 568 398,0 тыс. рублей, в том</w:t>
      </w: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объем субсидий, субвенций и иных межбюджетных трансфертов, имеющих целевое назначение, в сумме 391 048,7 тыс. рублей;</w:t>
      </w:r>
    </w:p>
    <w:p w:rsidR="004B32A6" w:rsidRPr="004B32A6" w:rsidRDefault="004B32A6" w:rsidP="004B32A6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(в редакции решения Совета депутатов от 26 марта 2026 года № 16)</w:t>
      </w:r>
    </w:p>
    <w:p w:rsidR="004B32A6" w:rsidRPr="004B32A6" w:rsidRDefault="004B32A6" w:rsidP="004B32A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3) на 2028 год в сумме 799 843,8 тыс. рублей, в том</w:t>
      </w: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объем субсидий, субвенций и иных межбюджетных трансфертов, имеющих целевое назначение, в сумме 602 402,4 тыс. рублей.</w:t>
      </w:r>
    </w:p>
    <w:p w:rsidR="004B32A6" w:rsidRPr="004B32A6" w:rsidRDefault="004B32A6" w:rsidP="004B32A6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28 апреля 2026 года № 25)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6. Установить, что:</w:t>
      </w:r>
    </w:p>
    <w:p w:rsidR="004B32A6" w:rsidRPr="004B32A6" w:rsidRDefault="004B32A6" w:rsidP="004B32A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- доходы от погашения задолженности и перерасчетов по отмененным налогам и сборам зачисляются в бюджет муниципального округа по нормативу100 процентов;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прочие доходы от оказания платных услуг (работ) получателями средств бюджета муниципального округа зачисляются в бюджет муниципального округа по нормативу 100 процентов;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- доходы от компенсации затрат бюджета муниципального округа, зачисляются в бюджет муниципального округа по нормативу 100 процентов;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платежи, взимаемые органами местного самоуправления муниципального округа, зачисляются в бюджет муниципального округа по нормативу 100 процентов;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доходы от возмещения ущерба при возникновении страховых случаев, когда выгодоприобретателями выступают получатели средств бюджета муниципального округа зачисляются в бюджет муниципального округа по нормативу 100 процентов;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невыясненные поступления в бюджет муниципального округа зачисляются по нормативу 100 процентов;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возмещение потерь сельскохозяйственного производства, связанных с изъятием сельскохозяйственных угодий, расположенных на территории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(по обязательствам, возникшим до 1 января 2008 года), зачисляется в бюджет муниципального округа по нормативу 100 процентов;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прочие неналоговые доходы бюджета муниципального округа зачисляются в бюджет муниципального округа по нормативу 100 процентов;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платежи в целях возмещения убытков, причиненных уклонением от заключения с муниципальными органами (муниципальными казенными учреждениями)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муниципального контракта, а также иные денежные средства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зачисляются в бюджет муниципального округа по нормативу 100 процентов;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платежи в целях возмещения ущерба при расторжении заключенного с муниципальными органами (муниципальными казенными учреждениями)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муниципального контракта в связи с односторонним отказом исполнителя (подрядчика) от его исполнения зачисляются в бюджет муниципального округа по нормативу 100 процентов;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денежные взыскания, налагаемые в возмещение ущерба, причиненного в результате незаконного или нецелевого использования средств бюджета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зачисляются в бюджет муниципального округа по нормативу 100 процентов.</w:t>
      </w:r>
    </w:p>
    <w:p w:rsidR="004B32A6" w:rsidRPr="004B32A6" w:rsidRDefault="004B32A6" w:rsidP="004B32A6">
      <w:pPr>
        <w:autoSpaceDE w:val="0"/>
        <w:autoSpaceDN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инициативные платежи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зачисляются в бюджет муниципального округа по нормативу 100 процентов.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Установить минимальный размер отчисления в бюджет муниципального округа части прибыли муниципальных предприятий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остающейся после уплаты налогов и иных обязательных платежей в бюджет, 20 процентов.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Конкретный размер части прибыли муниципальных предприятий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подлежащей перечислению в бюджет муниципального округа, определяется решениями структурных подразделений администрации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за которыми закреплены муниципальные предприятия, находящиеся в собственности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в соответствии с постановлением администрации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от 12 августа 2021 года № 899 «О повышении эффективности деятельности муниципальных предприятий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области».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8. Утвердить источники финансирования дефицита бюджета муниципального округа на 2026 год и на плановый период 2027 и 2028 годов согласно приложению 2.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9.Утвердить в пределах общего объема расходов, утвержденного пунктом 1 настоящего решения: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 согласно приложению 3;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ведомственную структуру расходов бюджета муниципального округа на 2026 год и на плановый период 2027 и 2028 годов согласно приложению 4;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3) распределение бюджетных ассигнований по разделам, подразделам и группам видов расходов классификации расходов бюджета на 2026 год и на плановый период 2027 и 2028 годов согласно приложению 5.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Утвердить резервный фонд администрации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2026 год в сумме 2 000,0 тыс. рублей, на 2027 год в сумме 2 000,</w:t>
      </w:r>
      <w:proofErr w:type="gram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0  тыс.</w:t>
      </w:r>
      <w:proofErr w:type="gram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на 2028 год в сумме 2 000,0 тыс. рублей.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11. Утвердить общий объем бюджетных ассигнований на исполнение публичных нормативных обязательств на 2026 год в сумме 462,0 тыс. рублей, на 2027 год в сумме 453,0 тыс. рублей, на 2028 год в сумме 453,0 тыс. рублей.</w:t>
      </w:r>
    </w:p>
    <w:p w:rsidR="004B32A6" w:rsidRPr="004B32A6" w:rsidRDefault="004B32A6" w:rsidP="004B32A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28 апреля 2026 года № 25)</w:t>
      </w:r>
    </w:p>
    <w:p w:rsidR="004B32A6" w:rsidRPr="004B32A6" w:rsidRDefault="004B32A6" w:rsidP="004B32A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12. Утвердить перечень публичных нормативных обязательств, подлежащих исполнению за счет средств бюджета муниципального округа, на 2026 год и на плановый период 2027 и 2028 годов согласно приложению 6.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 Установить, что в 2026 году финансовым управлением администрации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осуществляется казначейское сопровождение средств, указанных в части 1) настоящего пункта, предоставляемых на основании муниципальных контрактов (контрактов, договоров, соглашений) (далее - целевые средства).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казначейском сопровождении целевых средств финансовое управление     администрации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осуществляет санкционирование операций в установленном им порядке.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1) Установить, что казначейскому сопровождению подлежат: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- субсидии юридическим лицам, не являющимся муниципальными учреждениями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-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абзацах втором и третьем настоящей части, с исполнителями по контрактам (договорам), источником финансового обеспечения которых являются данные субсидии, бюджетные инвестиции, если сумма контракта (договора) превышает 50 000,0 </w:t>
      </w:r>
      <w:proofErr w:type="spellStart"/>
      <w:proofErr w:type="gram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муниципальным контрактам (договорам) о поставке товаров, выполнении работ, оказании услуг, заключаемым на сумму свыше 50 000,0 </w:t>
      </w:r>
      <w:proofErr w:type="spellStart"/>
      <w:proofErr w:type="gram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финансовом управлении администрации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источником финансового обеспечения которых являются средства, поступающие им в соответствии с законодательством Российской Федерации, законодательством Нижегородской области и </w:t>
      </w:r>
    </w:p>
    <w:p w:rsidR="004B32A6" w:rsidRPr="004B32A6" w:rsidRDefault="004B32A6" w:rsidP="004B3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нормативными правовыми актами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указанные лицевые счета;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абзацах 4-6 настоящей части контрактов (договоров) если сумма контракта (договора), заключаемого исполнителем с соисполнителем превышает 30 000,0 </w:t>
      </w:r>
      <w:proofErr w:type="spellStart"/>
      <w:proofErr w:type="gram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расчеты по муниципальным контрактам (договорам)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администрации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 Положения части 1) настоящего пункта не распространяются в соответствии с подпунктом 4 статьи 242</w:t>
      </w:r>
      <w:r w:rsidRPr="004B32A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27 </w:t>
      </w: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Бюджетного кодекса Российской Федерации на целевые средства, предоставляемые: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а) юридическим лицам, являющимся получателями грантов в форме субсидий на развитие малых форм хозяйствования;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б) 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 организациям, осуществляющим выдачу технических условий на подключение к сетям инженерно-технического обеспечения; 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 организациям, осуществляющим мероприятия по предупреждению и (или) ликвидации чрезвычайных ситуаций, а также мобилизационной подготовке; 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д) 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Установить, что при казначейском сопровождении субсидий юридическим лицам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случаях, установленных администрацией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перечисление субсидий юридическим лицам, не являющимся муниципальными бюджетными и автономными учреждениями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осуществляется в соответствии с планом-графиком перечисления субсидии, являющимся приложением к соглашению о предоставлении субсидии.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Открытие лицевых счетов участникам казначейского сопровождения осуществляется в порядке, установленном финансовым управлением администрации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области. Юридическим лицам, не имеющим регистрации на территории Нижегородской области, лицевые счета открываются после предоставления информации о регистрации обособленных подразделений таких юридических лиц на территории Нижегородской области в случаях, установленных Налоговым кодексом Российской Федерации.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случаях заключения муниципального контракта (контракта, договора, соглашения), предметом которого является 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строительства, авансирование работ по строительству, реконструкции и (или)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(в случае, если в соответствии с законодательством о градостроительной деятельности государственная экспертиза проектной документации не требуется).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 Получатели средств бюджета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муниципальные бюджетные и автономные учреждения   предусматривают в заключаемых ими муниципальных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администрации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 о мерах по реализации решения Совета депутатов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 бюджете муниципального округа на соответствующий финансовый год, но не более размера обеспечения муниципальных контрактов. 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7) </w:t>
      </w:r>
      <w:proofErr w:type="gram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увеличения в процессе исполнения муниципального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казначейское сопровождение такого муниципального контракта (контракта, договора).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14. Безвозмездные поступления от физических и юридических лиц, в том числе добровольные пожертвования, не использованные казенными учреждениями  </w:t>
      </w:r>
      <w:proofErr w:type="spellStart"/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и оставшиеся на 1 января </w:t>
      </w:r>
      <w:r w:rsidRPr="004B32A6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текущего финансового года</w:t>
      </w: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лицевом счете бюджета муниципального округа, открытом в Управлении Федерального казначейства по Нижегородской области, при наличии потребности могут быть использованы казенными учреждениями </w:t>
      </w:r>
      <w:proofErr w:type="spellStart"/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 </w:t>
      </w:r>
      <w:proofErr w:type="spellStart"/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округа, в полном объеме зачисляются в бюджет муниципального округа  и направляются на финансовое обеспечение осуществления функций казенных учреждений </w:t>
      </w:r>
      <w:proofErr w:type="spellStart"/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муниципального округа в соответствии с их целевым назначением сверх бюджетных ассигнований, предусмотренных в бюджете муниципального округа, в порядке, установленном финансовым управлением администрации </w:t>
      </w:r>
      <w:proofErr w:type="spellStart"/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округа.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 xml:space="preserve">15. Администрация </w:t>
      </w:r>
      <w:proofErr w:type="spellStart"/>
      <w:r w:rsidRPr="004B32A6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 xml:space="preserve"> муниципального округа в пределах</w:t>
      </w:r>
      <w:r w:rsidRPr="004B32A6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 xml:space="preserve"> 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кредитам, полученным в российских кредитных организациях </w:t>
      </w: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порядке и на условиях, установленных в соответствии с Законом Нижегородской области от 20 сентября 2004 года № 103-З « Об утверждении областной целевой программы «Молодой семье-доступное жилье» на 2004-2010 годы, постановлением Администрации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от 25 ноября 2020 года № 724 «Об утверждении муниципальной программы «Обеспечение граждан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 Нижегородской области доступным и комфортным жильем».</w:t>
      </w:r>
    </w:p>
    <w:p w:rsidR="004B32A6" w:rsidRPr="004B32A6" w:rsidRDefault="004B32A6" w:rsidP="004B32A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16. Утвердить Положение о порядке предоставления в 2026 году и плановом периоде 2027 и 2028 годов из бюджета муниципального округа средств на возмещение части затрат на уплату процентов за пользование кредитами по льготным жилищным кредитам молодым семьям, нуждающимся в улучшении жилищных условий согласно приложению 7.</w:t>
      </w:r>
    </w:p>
    <w:p w:rsidR="004B32A6" w:rsidRPr="004B32A6" w:rsidRDefault="004B32A6" w:rsidP="004B32A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Pr="004B32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в следующих случаях:</w:t>
      </w:r>
    </w:p>
    <w:p w:rsidR="004B32A6" w:rsidRPr="004B32A6" w:rsidRDefault="004B32A6" w:rsidP="004B32A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автономной некоммерческой организации «Центр поддержки предпринимательства»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</w:t>
      </w: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proofErr w:type="spellEnd"/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на реализацию мероприятий </w:t>
      </w:r>
    </w:p>
    <w:p w:rsidR="004B32A6" w:rsidRPr="004B32A6" w:rsidRDefault="004B32A6" w:rsidP="004B32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муниципальной программы «Развитие предпринимательства </w:t>
      </w:r>
      <w:proofErr w:type="spellStart"/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Нижегородской области»;</w:t>
      </w:r>
    </w:p>
    <w:p w:rsidR="004B32A6" w:rsidRPr="004B32A6" w:rsidRDefault="004B32A6" w:rsidP="004B32A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2A6" w:rsidRPr="004B32A6" w:rsidRDefault="004B32A6" w:rsidP="004B32A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4B32A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Ковернинской</w:t>
      </w:r>
      <w:proofErr w:type="spellEnd"/>
      <w:r w:rsidRPr="004B32A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</w:t>
      </w:r>
      <w:proofErr w:type="spellStart"/>
      <w:r w:rsidRPr="004B32A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Ковернинском</w:t>
      </w:r>
      <w:proofErr w:type="spellEnd"/>
      <w:r w:rsidRPr="004B32A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муниципальном округе;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Ковернинской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общество.</w:t>
      </w:r>
    </w:p>
    <w:p w:rsidR="004B32A6" w:rsidRPr="004B32A6" w:rsidRDefault="004B32A6" w:rsidP="004B32A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Субсидии юридическим лицам (за исключением субсидий муниципальным учреждениям), индивидуальным предпринимателям, а также физическим лицам - 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затрат, в порядке, установленном администрацией </w:t>
      </w:r>
      <w:proofErr w:type="spellStart"/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округа, в следующих случаях: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МП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"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ЖКХ"Ковернино"на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на финансовое обеспечение оплаты части затрат ООО "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Ковернинский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автопарк" в связи с предоставлением транспортных услуг населению и услуг по организации транспортного обслуживания населения;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Индивидуальному предпринимателю Сорокину А.В. на возмещение затрат в связи с предоставлением населению банных услуг на территории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р.п.Ковернино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на реализацию мероприятия по обеспечению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удаленныхнаселенных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4B32A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</w:r>
      <w:r w:rsidRPr="004B32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4B32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услуг);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7) </w:t>
      </w: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МП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"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ЖКХ"Ковернино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" на погашение кредиторской задолженности за электрическую энергию, природный газ и топливо.</w:t>
      </w:r>
    </w:p>
    <w:p w:rsidR="004B32A6" w:rsidRPr="004B32A6" w:rsidRDefault="004B32A6" w:rsidP="004B32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на поддержку агропромышленного комплекса </w:t>
      </w:r>
      <w:proofErr w:type="spellStart"/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на возмещение части затрат на приобретение дизельного топлива для проведения весенних полевых работ</w:t>
      </w:r>
    </w:p>
    <w:p w:rsidR="004B32A6" w:rsidRPr="004B32A6" w:rsidRDefault="004B32A6" w:rsidP="004B32A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Утвердить объем бюджетных ассигнований дорожного фонда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округа:</w:t>
      </w:r>
    </w:p>
    <w:p w:rsidR="004B32A6" w:rsidRPr="004B32A6" w:rsidRDefault="004B32A6" w:rsidP="004B32A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2026 год в размере 31 045,0 тыс. рублей;</w:t>
      </w:r>
    </w:p>
    <w:p w:rsidR="004B32A6" w:rsidRPr="004B32A6" w:rsidRDefault="004B32A6" w:rsidP="004B32A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2027 год в размере 41 446,6 тыс. рублей;</w:t>
      </w:r>
    </w:p>
    <w:p w:rsidR="004B32A6" w:rsidRPr="004B32A6" w:rsidRDefault="004B32A6" w:rsidP="004B32A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2028 год в размере 43 098,4тыс. рублей.</w:t>
      </w:r>
    </w:p>
    <w:p w:rsidR="004B32A6" w:rsidRPr="004B32A6" w:rsidRDefault="004B32A6" w:rsidP="004B32A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Установить верхний предел муниципального внутреннего долга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округа: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 1 января 2027 года в размере 0,0 тыс. рублей, в том числе установить верхний предел долга по муниципальным гарантиям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1 января 2027 года в размере 0,0 тыс. рублей;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1 января 2028 года в размере 0,0 тыс. рублей, в том числе установить верхний предел долга по муниципальным гарантиям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1 января 2028 года в размере 0,0 тыс. рублей;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на 1 января 2029 года в размере 0,0 тыс. рублей, в том числе установить верхний предел долга по муниципальным гарантиям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1 января 2029 года в размере 0,0 тыс. рублей.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Утвердить Программу муниципальных внутренних заимствований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2026 год и на плановый период 2027 и 2028 годов согласно приложению 8.</w:t>
      </w:r>
    </w:p>
    <w:p w:rsidR="004B32A6" w:rsidRPr="004B32A6" w:rsidRDefault="004B32A6" w:rsidP="004B32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Программу муниципальных гарантий </w:t>
      </w:r>
      <w:proofErr w:type="spellStart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в валюте Российской Федерации на 2026 год и на плановый период 2027 и 2028 годов согласно приложению 9.</w:t>
      </w:r>
    </w:p>
    <w:p w:rsidR="004B32A6" w:rsidRPr="004B32A6" w:rsidRDefault="004B32A6" w:rsidP="004B32A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2A6">
        <w:rPr>
          <w:rFonts w:ascii="Times New Roman" w:eastAsia="Times New Roman" w:hAnsi="Times New Roman" w:cs="Times New Roman"/>
          <w:sz w:val="24"/>
          <w:szCs w:val="24"/>
          <w:lang w:eastAsia="ru-RU"/>
        </w:rPr>
        <w:t>22. Настоящее решение вступает в силу с 1 января 2026 года</w:t>
      </w:r>
      <w:r w:rsidRPr="004B32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B32A6" w:rsidRPr="004B32A6" w:rsidRDefault="004B32A6" w:rsidP="004B32A6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6"/>
        <w:gridCol w:w="5099"/>
      </w:tblGrid>
      <w:tr w:rsidR="004B32A6" w:rsidRPr="004B32A6" w:rsidTr="00577732">
        <w:trPr>
          <w:trHeight w:val="20"/>
        </w:trPr>
        <w:tc>
          <w:tcPr>
            <w:tcW w:w="5210" w:type="dxa"/>
            <w:shd w:val="clear" w:color="auto" w:fill="auto"/>
          </w:tcPr>
          <w:p w:rsidR="004B32A6" w:rsidRPr="004B32A6" w:rsidRDefault="004B32A6" w:rsidP="004B32A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4B32A6" w:rsidRPr="004B32A6" w:rsidRDefault="004B32A6" w:rsidP="004B32A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:rsidR="004B32A6" w:rsidRPr="004B32A6" w:rsidRDefault="004B32A6" w:rsidP="004B32A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С.В.Галкин</w:t>
            </w:r>
            <w:proofErr w:type="spellEnd"/>
          </w:p>
        </w:tc>
        <w:tc>
          <w:tcPr>
            <w:tcW w:w="5211" w:type="dxa"/>
            <w:shd w:val="clear" w:color="auto" w:fill="auto"/>
          </w:tcPr>
          <w:p w:rsidR="004B32A6" w:rsidRPr="004B32A6" w:rsidRDefault="004B32A6" w:rsidP="004B32A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местного самоуправления</w:t>
            </w:r>
          </w:p>
          <w:p w:rsidR="004B32A6" w:rsidRPr="004B32A6" w:rsidRDefault="004B32A6" w:rsidP="004B32A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4B32A6" w:rsidRPr="004B32A6" w:rsidRDefault="004B32A6" w:rsidP="004B32A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О.П.Шмелев</w:t>
            </w:r>
            <w:proofErr w:type="spellEnd"/>
          </w:p>
          <w:p w:rsidR="004B32A6" w:rsidRPr="004B32A6" w:rsidRDefault="004B32A6" w:rsidP="004B32A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71C59" w:rsidRDefault="00471C59"/>
    <w:sectPr w:rsidR="00471C59" w:rsidSect="004B32A6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32F"/>
    <w:rsid w:val="00471C59"/>
    <w:rsid w:val="004B32A6"/>
    <w:rsid w:val="006E332F"/>
    <w:rsid w:val="00C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83A4A-BB1F-485D-A2EC-DB4DABDCB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3320</Words>
  <Characters>18930</Characters>
  <Application>Microsoft Office Word</Application>
  <DocSecurity>0</DocSecurity>
  <Lines>157</Lines>
  <Paragraphs>44</Paragraphs>
  <ScaleCrop>false</ScaleCrop>
  <Company/>
  <LinksUpToDate>false</LinksUpToDate>
  <CharactersWithSpaces>22206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2026-08-05T12:36:00Z</dcterms:created>
  <dcterms:modified xsi:type="dcterms:W3CDTF">2026-08-05T12:36:00Z</dcterms:modified>
</cp:coreProperties>
</file>